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05" w:rsidRPr="00B90305" w:rsidRDefault="00B90305" w:rsidP="00B90305">
      <w:pPr>
        <w:spacing w:before="100" w:beforeAutospacing="1" w:after="100" w:afterAutospacing="1"/>
        <w:outlineLvl w:val="1"/>
        <w:rPr>
          <w:b/>
          <w:bCs/>
          <w:sz w:val="36"/>
          <w:szCs w:val="36"/>
        </w:rPr>
      </w:pPr>
      <w:bookmarkStart w:id="0" w:name="_GoBack"/>
      <w:bookmarkEnd w:id="0"/>
      <w:r w:rsidRPr="00B90305">
        <w:rPr>
          <w:b/>
          <w:bCs/>
          <w:sz w:val="36"/>
          <w:szCs w:val="36"/>
        </w:rPr>
        <w:t>What is the Transportation Disadvantaged Program?</w:t>
      </w:r>
    </w:p>
    <w:p w:rsidR="00B90305" w:rsidRPr="00B90305" w:rsidRDefault="00B90305" w:rsidP="00B90305">
      <w:pPr>
        <w:spacing w:before="100" w:beforeAutospacing="1" w:after="100" w:afterAutospacing="1"/>
      </w:pPr>
      <w:r w:rsidRPr="00B90305">
        <w:t>The Pinellas County Transportation Disadvantaged (TD) Program is a state-funded program that provides reduced cost transportation throughout the county to residents who qualify as "Transportation Disadvantaged."</w:t>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Who Qualifies for Transportation Disadvantaged Services in Pinellas County?</w:t>
      </w:r>
    </w:p>
    <w:p w:rsidR="00B90305" w:rsidRPr="00B90305" w:rsidRDefault="00B90305" w:rsidP="00B90305">
      <w:pPr>
        <w:spacing w:before="100" w:beforeAutospacing="1" w:after="100" w:afterAutospacing="1"/>
      </w:pPr>
      <w:r w:rsidRPr="00B90305">
        <w:t>In order to qualify for Transportation Disadvantaged services in Pinellas County, a person must:</w:t>
      </w:r>
    </w:p>
    <w:p w:rsidR="00B90305" w:rsidRPr="00B90305" w:rsidRDefault="00B90305" w:rsidP="00B90305">
      <w:pPr>
        <w:numPr>
          <w:ilvl w:val="0"/>
          <w:numId w:val="1"/>
        </w:numPr>
        <w:spacing w:before="100" w:beforeAutospacing="1" w:after="100" w:afterAutospacing="1"/>
      </w:pPr>
      <w:r w:rsidRPr="00B90305">
        <w:t>Live in Pinellas County</w:t>
      </w:r>
    </w:p>
    <w:p w:rsidR="00B90305" w:rsidRPr="00B90305" w:rsidRDefault="00B90305" w:rsidP="00B90305">
      <w:pPr>
        <w:numPr>
          <w:ilvl w:val="0"/>
          <w:numId w:val="1"/>
        </w:numPr>
        <w:spacing w:before="100" w:beforeAutospacing="1" w:after="100" w:afterAutospacing="1"/>
      </w:pPr>
      <w:r w:rsidRPr="00B90305">
        <w:t>Not be able to get a ride from household members or others for life-sustaining trips: medical, grocery, work, job-related training/education and other vital services</w:t>
      </w:r>
    </w:p>
    <w:p w:rsidR="00B90305" w:rsidRPr="00B90305" w:rsidRDefault="00B90305" w:rsidP="00B90305">
      <w:pPr>
        <w:numPr>
          <w:ilvl w:val="0"/>
          <w:numId w:val="1"/>
        </w:numPr>
        <w:spacing w:before="100" w:beforeAutospacing="1" w:after="100" w:afterAutospacing="1"/>
      </w:pPr>
      <w:r w:rsidRPr="00B90305">
        <w:t>Have documented household income which does not exceed 150 percent of poverty (see chart below)</w:t>
      </w:r>
    </w:p>
    <w:p w:rsidR="00B90305" w:rsidRPr="00B90305" w:rsidRDefault="00B90305" w:rsidP="00B90305">
      <w:pPr>
        <w:spacing w:before="100" w:beforeAutospacing="1" w:after="100" w:afterAutospacing="1"/>
        <w:outlineLvl w:val="2"/>
        <w:rPr>
          <w:b/>
          <w:bCs/>
          <w:sz w:val="27"/>
          <w:szCs w:val="27"/>
        </w:rPr>
      </w:pPr>
      <w:r w:rsidRPr="00B90305">
        <w:rPr>
          <w:b/>
          <w:bCs/>
          <w:sz w:val="27"/>
          <w:szCs w:val="27"/>
        </w:rPr>
        <w:t>2017 Federal Poverty Guidelines (X 150 percent) </w:t>
      </w:r>
    </w:p>
    <w:tbl>
      <w:tblPr>
        <w:tblW w:w="6490" w:type="dxa"/>
        <w:tblCellSpacing w:w="15" w:type="dxa"/>
        <w:tblCellMar>
          <w:top w:w="15" w:type="dxa"/>
          <w:left w:w="450" w:type="dxa"/>
          <w:bottom w:w="15" w:type="dxa"/>
          <w:right w:w="15" w:type="dxa"/>
        </w:tblCellMar>
        <w:tblLook w:val="04A0" w:firstRow="1" w:lastRow="0" w:firstColumn="1" w:lastColumn="0" w:noHBand="0" w:noVBand="1"/>
      </w:tblPr>
      <w:tblGrid>
        <w:gridCol w:w="1578"/>
        <w:gridCol w:w="2356"/>
        <w:gridCol w:w="2556"/>
      </w:tblGrid>
      <w:tr w:rsidR="00B90305" w:rsidRPr="00B90305" w:rsidTr="00B90305">
        <w:trPr>
          <w:tblHeader/>
          <w:tblCellSpacing w:w="15" w:type="dxa"/>
        </w:trPr>
        <w:tc>
          <w:tcPr>
            <w:tcW w:w="0" w:type="auto"/>
            <w:vAlign w:val="center"/>
            <w:hideMark/>
          </w:tcPr>
          <w:p w:rsidR="00B90305" w:rsidRPr="00B90305" w:rsidRDefault="00B90305" w:rsidP="00B90305">
            <w:r w:rsidRPr="00B90305">
              <w:rPr>
                <w:b/>
                <w:bCs/>
              </w:rPr>
              <w:t>Family Size</w:t>
            </w:r>
          </w:p>
        </w:tc>
        <w:tc>
          <w:tcPr>
            <w:tcW w:w="0" w:type="auto"/>
            <w:vAlign w:val="center"/>
            <w:hideMark/>
          </w:tcPr>
          <w:p w:rsidR="00B90305" w:rsidRPr="00B90305" w:rsidRDefault="00B90305" w:rsidP="00B90305">
            <w:r w:rsidRPr="00B90305">
              <w:rPr>
                <w:b/>
                <w:bCs/>
              </w:rPr>
              <w:t> Gross Yearly Income</w:t>
            </w:r>
          </w:p>
        </w:tc>
        <w:tc>
          <w:tcPr>
            <w:tcW w:w="0" w:type="auto"/>
            <w:vAlign w:val="center"/>
            <w:hideMark/>
          </w:tcPr>
          <w:p w:rsidR="00B90305" w:rsidRPr="00B90305" w:rsidRDefault="00B90305" w:rsidP="00B90305">
            <w:r w:rsidRPr="00B90305">
              <w:rPr>
                <w:b/>
                <w:bCs/>
              </w:rPr>
              <w:t>Gross Monthly Income </w:t>
            </w:r>
          </w:p>
        </w:tc>
      </w:tr>
      <w:tr w:rsidR="00B90305" w:rsidRPr="00B90305" w:rsidTr="00B90305">
        <w:trPr>
          <w:tblCellSpacing w:w="15" w:type="dxa"/>
        </w:trPr>
        <w:tc>
          <w:tcPr>
            <w:tcW w:w="0" w:type="auto"/>
            <w:vAlign w:val="center"/>
            <w:hideMark/>
          </w:tcPr>
          <w:p w:rsidR="00B90305" w:rsidRPr="00B90305" w:rsidRDefault="00B90305" w:rsidP="00B90305">
            <w:r w:rsidRPr="00B90305">
              <w:t>1</w:t>
            </w:r>
          </w:p>
        </w:tc>
        <w:tc>
          <w:tcPr>
            <w:tcW w:w="0" w:type="auto"/>
            <w:vAlign w:val="center"/>
            <w:hideMark/>
          </w:tcPr>
          <w:p w:rsidR="00B90305" w:rsidRPr="00B90305" w:rsidRDefault="00B90305" w:rsidP="00B90305">
            <w:r w:rsidRPr="00B90305">
              <w:t> $18,900</w:t>
            </w:r>
          </w:p>
        </w:tc>
        <w:tc>
          <w:tcPr>
            <w:tcW w:w="0" w:type="auto"/>
            <w:vAlign w:val="center"/>
            <w:hideMark/>
          </w:tcPr>
          <w:p w:rsidR="00B90305" w:rsidRPr="00B90305" w:rsidRDefault="00B90305" w:rsidP="00B90305">
            <w:r w:rsidRPr="00B90305">
              <w:t> $1,507.50</w:t>
            </w:r>
          </w:p>
        </w:tc>
      </w:tr>
      <w:tr w:rsidR="00B90305" w:rsidRPr="00B90305" w:rsidTr="00B90305">
        <w:trPr>
          <w:tblCellSpacing w:w="15" w:type="dxa"/>
        </w:trPr>
        <w:tc>
          <w:tcPr>
            <w:tcW w:w="0" w:type="auto"/>
            <w:vAlign w:val="center"/>
            <w:hideMark/>
          </w:tcPr>
          <w:p w:rsidR="00B90305" w:rsidRPr="00B90305" w:rsidRDefault="00B90305" w:rsidP="00B90305">
            <w:r w:rsidRPr="00B90305">
              <w:t>2</w:t>
            </w:r>
          </w:p>
        </w:tc>
        <w:tc>
          <w:tcPr>
            <w:tcW w:w="0" w:type="auto"/>
            <w:vAlign w:val="center"/>
            <w:hideMark/>
          </w:tcPr>
          <w:p w:rsidR="00B90305" w:rsidRPr="00B90305" w:rsidRDefault="00B90305" w:rsidP="00B90305">
            <w:r w:rsidRPr="00B90305">
              <w:t> $24,360</w:t>
            </w:r>
          </w:p>
        </w:tc>
        <w:tc>
          <w:tcPr>
            <w:tcW w:w="0" w:type="auto"/>
            <w:vAlign w:val="center"/>
            <w:hideMark/>
          </w:tcPr>
          <w:p w:rsidR="00B90305" w:rsidRPr="00B90305" w:rsidRDefault="00B90305" w:rsidP="00B90305">
            <w:r w:rsidRPr="00B90305">
              <w:t> $2,030.00</w:t>
            </w:r>
          </w:p>
        </w:tc>
      </w:tr>
      <w:tr w:rsidR="00B90305" w:rsidRPr="00B90305" w:rsidTr="00B90305">
        <w:trPr>
          <w:tblCellSpacing w:w="15" w:type="dxa"/>
        </w:trPr>
        <w:tc>
          <w:tcPr>
            <w:tcW w:w="0" w:type="auto"/>
            <w:vAlign w:val="center"/>
            <w:hideMark/>
          </w:tcPr>
          <w:p w:rsidR="00B90305" w:rsidRPr="00B90305" w:rsidRDefault="00B90305" w:rsidP="00B90305">
            <w:r w:rsidRPr="00B90305">
              <w:t>3</w:t>
            </w:r>
          </w:p>
        </w:tc>
        <w:tc>
          <w:tcPr>
            <w:tcW w:w="0" w:type="auto"/>
            <w:vAlign w:val="center"/>
            <w:hideMark/>
          </w:tcPr>
          <w:p w:rsidR="00B90305" w:rsidRPr="00B90305" w:rsidRDefault="00B90305" w:rsidP="00B90305">
            <w:r w:rsidRPr="00B90305">
              <w:t> $30,630</w:t>
            </w:r>
          </w:p>
        </w:tc>
        <w:tc>
          <w:tcPr>
            <w:tcW w:w="0" w:type="auto"/>
            <w:vAlign w:val="center"/>
            <w:hideMark/>
          </w:tcPr>
          <w:p w:rsidR="00B90305" w:rsidRPr="00B90305" w:rsidRDefault="00B90305" w:rsidP="00B90305">
            <w:r w:rsidRPr="00B90305">
              <w:t> $2,552.50</w:t>
            </w:r>
          </w:p>
        </w:tc>
      </w:tr>
      <w:tr w:rsidR="00B90305" w:rsidRPr="00B90305" w:rsidTr="00B90305">
        <w:trPr>
          <w:tblCellSpacing w:w="15" w:type="dxa"/>
        </w:trPr>
        <w:tc>
          <w:tcPr>
            <w:tcW w:w="0" w:type="auto"/>
            <w:vAlign w:val="center"/>
            <w:hideMark/>
          </w:tcPr>
          <w:p w:rsidR="00B90305" w:rsidRPr="00B90305" w:rsidRDefault="00B90305" w:rsidP="00B90305">
            <w:r w:rsidRPr="00B90305">
              <w:t>4</w:t>
            </w:r>
          </w:p>
        </w:tc>
        <w:tc>
          <w:tcPr>
            <w:tcW w:w="0" w:type="auto"/>
            <w:vAlign w:val="center"/>
            <w:hideMark/>
          </w:tcPr>
          <w:p w:rsidR="00B90305" w:rsidRPr="00B90305" w:rsidRDefault="00B90305" w:rsidP="00B90305">
            <w:r w:rsidRPr="00B90305">
              <w:t> $36,900</w:t>
            </w:r>
          </w:p>
        </w:tc>
        <w:tc>
          <w:tcPr>
            <w:tcW w:w="0" w:type="auto"/>
            <w:vAlign w:val="center"/>
            <w:hideMark/>
          </w:tcPr>
          <w:p w:rsidR="00B90305" w:rsidRPr="00B90305" w:rsidRDefault="00B90305" w:rsidP="00B90305">
            <w:r w:rsidRPr="00B90305">
              <w:t> $3,075.00</w:t>
            </w:r>
          </w:p>
        </w:tc>
      </w:tr>
      <w:tr w:rsidR="00B90305" w:rsidRPr="00B90305" w:rsidTr="00B90305">
        <w:trPr>
          <w:tblCellSpacing w:w="15" w:type="dxa"/>
        </w:trPr>
        <w:tc>
          <w:tcPr>
            <w:tcW w:w="0" w:type="auto"/>
            <w:vAlign w:val="center"/>
            <w:hideMark/>
          </w:tcPr>
          <w:p w:rsidR="00B90305" w:rsidRPr="00B90305" w:rsidRDefault="00B90305" w:rsidP="00B90305">
            <w:r w:rsidRPr="00B90305">
              <w:t>5</w:t>
            </w:r>
          </w:p>
        </w:tc>
        <w:tc>
          <w:tcPr>
            <w:tcW w:w="0" w:type="auto"/>
            <w:vAlign w:val="center"/>
            <w:hideMark/>
          </w:tcPr>
          <w:p w:rsidR="00B90305" w:rsidRPr="00B90305" w:rsidRDefault="00B90305" w:rsidP="00B90305">
            <w:r w:rsidRPr="00B90305">
              <w:t> $43,170</w:t>
            </w:r>
          </w:p>
        </w:tc>
        <w:tc>
          <w:tcPr>
            <w:tcW w:w="0" w:type="auto"/>
            <w:vAlign w:val="center"/>
            <w:hideMark/>
          </w:tcPr>
          <w:p w:rsidR="00B90305" w:rsidRPr="00B90305" w:rsidRDefault="00B90305" w:rsidP="00B90305">
            <w:r w:rsidRPr="00B90305">
              <w:t> $3,597.50</w:t>
            </w:r>
          </w:p>
        </w:tc>
      </w:tr>
      <w:tr w:rsidR="00B90305" w:rsidRPr="00B90305" w:rsidTr="00B90305">
        <w:trPr>
          <w:tblCellSpacing w:w="15" w:type="dxa"/>
        </w:trPr>
        <w:tc>
          <w:tcPr>
            <w:tcW w:w="0" w:type="auto"/>
            <w:vAlign w:val="center"/>
            <w:hideMark/>
          </w:tcPr>
          <w:p w:rsidR="00B90305" w:rsidRPr="00B90305" w:rsidRDefault="00B90305" w:rsidP="00B90305">
            <w:r w:rsidRPr="00B90305">
              <w:t>6</w:t>
            </w:r>
          </w:p>
        </w:tc>
        <w:tc>
          <w:tcPr>
            <w:tcW w:w="0" w:type="auto"/>
            <w:vAlign w:val="center"/>
            <w:hideMark/>
          </w:tcPr>
          <w:p w:rsidR="00B90305" w:rsidRPr="00B90305" w:rsidRDefault="00B90305" w:rsidP="00B90305">
            <w:r w:rsidRPr="00B90305">
              <w:t> $4,440</w:t>
            </w:r>
          </w:p>
        </w:tc>
        <w:tc>
          <w:tcPr>
            <w:tcW w:w="0" w:type="auto"/>
            <w:vAlign w:val="center"/>
            <w:hideMark/>
          </w:tcPr>
          <w:p w:rsidR="00B90305" w:rsidRPr="00B90305" w:rsidRDefault="00B90305" w:rsidP="00B90305">
            <w:r w:rsidRPr="00B90305">
              <w:t> $4,120.00</w:t>
            </w:r>
          </w:p>
        </w:tc>
      </w:tr>
      <w:tr w:rsidR="00B90305" w:rsidRPr="00B90305" w:rsidTr="00B90305">
        <w:trPr>
          <w:tblCellSpacing w:w="15" w:type="dxa"/>
        </w:trPr>
        <w:tc>
          <w:tcPr>
            <w:tcW w:w="0" w:type="auto"/>
            <w:vAlign w:val="center"/>
            <w:hideMark/>
          </w:tcPr>
          <w:p w:rsidR="00B90305" w:rsidRPr="00B90305" w:rsidRDefault="00B90305" w:rsidP="00B90305">
            <w:r w:rsidRPr="00B90305">
              <w:t>7</w:t>
            </w:r>
          </w:p>
        </w:tc>
        <w:tc>
          <w:tcPr>
            <w:tcW w:w="0" w:type="auto"/>
            <w:vAlign w:val="center"/>
            <w:hideMark/>
          </w:tcPr>
          <w:p w:rsidR="00B90305" w:rsidRPr="00B90305" w:rsidRDefault="00B90305" w:rsidP="00B90305">
            <w:r w:rsidRPr="00B90305">
              <w:t> $55,710</w:t>
            </w:r>
          </w:p>
        </w:tc>
        <w:tc>
          <w:tcPr>
            <w:tcW w:w="0" w:type="auto"/>
            <w:vAlign w:val="center"/>
            <w:hideMark/>
          </w:tcPr>
          <w:p w:rsidR="00B90305" w:rsidRPr="00B90305" w:rsidRDefault="00B90305" w:rsidP="00B90305">
            <w:r w:rsidRPr="00B90305">
              <w:t> $4,642.50</w:t>
            </w:r>
          </w:p>
        </w:tc>
      </w:tr>
      <w:tr w:rsidR="00B90305" w:rsidRPr="00B90305" w:rsidTr="00B90305">
        <w:trPr>
          <w:tblCellSpacing w:w="15" w:type="dxa"/>
        </w:trPr>
        <w:tc>
          <w:tcPr>
            <w:tcW w:w="0" w:type="auto"/>
            <w:vAlign w:val="center"/>
            <w:hideMark/>
          </w:tcPr>
          <w:p w:rsidR="00B90305" w:rsidRPr="00B90305" w:rsidRDefault="00B90305" w:rsidP="00B90305">
            <w:r w:rsidRPr="00B90305">
              <w:t>8</w:t>
            </w:r>
          </w:p>
        </w:tc>
        <w:tc>
          <w:tcPr>
            <w:tcW w:w="0" w:type="auto"/>
            <w:vAlign w:val="center"/>
            <w:hideMark/>
          </w:tcPr>
          <w:p w:rsidR="00B90305" w:rsidRPr="00B90305" w:rsidRDefault="00B90305" w:rsidP="00B90305">
            <w:r w:rsidRPr="00B90305">
              <w:t> $61,980</w:t>
            </w:r>
          </w:p>
        </w:tc>
        <w:tc>
          <w:tcPr>
            <w:tcW w:w="0" w:type="auto"/>
            <w:vAlign w:val="center"/>
            <w:hideMark/>
          </w:tcPr>
          <w:p w:rsidR="00B90305" w:rsidRPr="00B90305" w:rsidRDefault="00B90305" w:rsidP="00B90305">
            <w:r w:rsidRPr="00B90305">
              <w:t> $5,165.00</w:t>
            </w:r>
          </w:p>
        </w:tc>
      </w:tr>
      <w:tr w:rsidR="00B90305" w:rsidRPr="00B90305" w:rsidTr="00B90305">
        <w:trPr>
          <w:tblCellSpacing w:w="15" w:type="dxa"/>
        </w:trPr>
        <w:tc>
          <w:tcPr>
            <w:tcW w:w="0" w:type="auto"/>
            <w:vAlign w:val="center"/>
          </w:tcPr>
          <w:p w:rsidR="00B90305" w:rsidRPr="00B90305" w:rsidRDefault="00B90305" w:rsidP="00B90305"/>
        </w:tc>
        <w:tc>
          <w:tcPr>
            <w:tcW w:w="0" w:type="auto"/>
            <w:vAlign w:val="center"/>
          </w:tcPr>
          <w:p w:rsidR="00B90305" w:rsidRPr="00B90305" w:rsidRDefault="00B90305" w:rsidP="00B90305"/>
        </w:tc>
        <w:tc>
          <w:tcPr>
            <w:tcW w:w="0" w:type="auto"/>
            <w:vAlign w:val="center"/>
          </w:tcPr>
          <w:p w:rsidR="00B90305" w:rsidRPr="00B90305" w:rsidRDefault="00B90305" w:rsidP="00B90305"/>
        </w:tc>
      </w:tr>
    </w:tbl>
    <w:p w:rsidR="00B90305" w:rsidRPr="00B90305" w:rsidRDefault="00B90305" w:rsidP="00B90305">
      <w:pPr>
        <w:spacing w:before="100" w:beforeAutospacing="1" w:after="100" w:afterAutospacing="1"/>
        <w:outlineLvl w:val="1"/>
        <w:rPr>
          <w:b/>
          <w:bCs/>
          <w:sz w:val="36"/>
          <w:szCs w:val="36"/>
        </w:rPr>
      </w:pPr>
      <w:r w:rsidRPr="00B90305">
        <w:rPr>
          <w:b/>
          <w:bCs/>
          <w:sz w:val="36"/>
          <w:szCs w:val="36"/>
        </w:rPr>
        <w:t>How are Trips Provided to Qualified Individuals?</w:t>
      </w:r>
    </w:p>
    <w:p w:rsidR="00B90305" w:rsidRPr="00B90305" w:rsidRDefault="00B90305" w:rsidP="00B90305">
      <w:pPr>
        <w:spacing w:before="100" w:beforeAutospacing="1" w:after="100" w:afterAutospacing="1"/>
        <w:outlineLvl w:val="2"/>
        <w:rPr>
          <w:b/>
          <w:bCs/>
          <w:sz w:val="27"/>
          <w:szCs w:val="27"/>
        </w:rPr>
      </w:pPr>
      <w:r w:rsidRPr="00B90305">
        <w:rPr>
          <w:b/>
          <w:bCs/>
          <w:sz w:val="27"/>
          <w:szCs w:val="27"/>
        </w:rPr>
        <w:t>Reduced-Cost PSTA Bus Passes</w:t>
      </w:r>
    </w:p>
    <w:p w:rsidR="00B90305" w:rsidRPr="00B90305" w:rsidRDefault="00B90305" w:rsidP="00B90305">
      <w:pPr>
        <w:spacing w:before="100" w:beforeAutospacing="1" w:after="100" w:afterAutospacing="1"/>
      </w:pPr>
      <w:r w:rsidRPr="00B90305">
        <w:t xml:space="preserve">The Pinellas Suncoast Transit Authority (PSTA) provides bus service throughout most of the county. All buses are air-conditioned and wheelchair accessible. Individuals able to access and ride a bus can qualify for either a 10 (non-consecutive) Day bus pass for $5.00 per month, or a 31-Day unlimited ride bus pass for $11.00 per month. The passes can be </w:t>
      </w:r>
      <w:r w:rsidRPr="00B90305">
        <w:lastRenderedPageBreak/>
        <w:t xml:space="preserve">used for travel to any location served by the PSTA bus system. To get bus route maps and schedules from PSTA, call 727-540-1900 or </w:t>
      </w:r>
      <w:hyperlink r:id="rId5" w:tooltip="Schedule/Map" w:history="1">
        <w:r w:rsidRPr="00B90305">
          <w:rPr>
            <w:color w:val="0000FF"/>
            <w:u w:val="single"/>
          </w:rPr>
          <w:t>click here</w:t>
        </w:r>
      </w:hyperlink>
      <w:r w:rsidRPr="00B90305">
        <w:t>.</w:t>
      </w:r>
    </w:p>
    <w:p w:rsidR="00B90305" w:rsidRPr="00B90305" w:rsidRDefault="00B90305" w:rsidP="00B90305">
      <w:pPr>
        <w:spacing w:before="100" w:beforeAutospacing="1" w:after="100" w:afterAutospacing="1"/>
        <w:outlineLvl w:val="2"/>
        <w:rPr>
          <w:b/>
          <w:bCs/>
          <w:sz w:val="27"/>
          <w:szCs w:val="27"/>
        </w:rPr>
      </w:pPr>
      <w:r w:rsidRPr="00B90305">
        <w:rPr>
          <w:b/>
          <w:bCs/>
          <w:sz w:val="27"/>
          <w:szCs w:val="27"/>
        </w:rPr>
        <w:t>Door-to-Door Service</w:t>
      </w:r>
    </w:p>
    <w:p w:rsidR="00B90305" w:rsidRPr="00B90305" w:rsidRDefault="00B90305" w:rsidP="00B90305">
      <w:pPr>
        <w:spacing w:before="100" w:beforeAutospacing="1" w:after="100" w:afterAutospacing="1"/>
      </w:pPr>
      <w:r w:rsidRPr="00B90305">
        <w:t>Individuals who cannot use the bus for some of their trips may qualify for door-to-door service for those trips for $3.00 per one-way trip. The fee is due in cash at the time of the ride.</w:t>
      </w:r>
    </w:p>
    <w:p w:rsidR="00B90305" w:rsidRPr="00B90305" w:rsidRDefault="00B90305" w:rsidP="00B90305">
      <w:pPr>
        <w:spacing w:before="100" w:beforeAutospacing="1" w:after="100" w:afterAutospacing="1"/>
      </w:pPr>
      <w:r w:rsidRPr="00B90305">
        <w:t>If approved for door-to-door service, the individual will need to make trip reservations for eligible trip purposes approved within Pinellas County.</w:t>
      </w:r>
    </w:p>
    <w:p w:rsidR="00B90305" w:rsidRPr="00B90305" w:rsidRDefault="00B90305" w:rsidP="00B90305">
      <w:pPr>
        <w:numPr>
          <w:ilvl w:val="0"/>
          <w:numId w:val="2"/>
        </w:numPr>
        <w:spacing w:before="100" w:beforeAutospacing="1" w:after="100" w:afterAutospacing="1"/>
      </w:pPr>
      <w:r w:rsidRPr="00B90305">
        <w:t>Requests must be made at least 72 hours BEFORE service is actually needed.</w:t>
      </w:r>
    </w:p>
    <w:p w:rsidR="00B90305" w:rsidRPr="00B90305" w:rsidRDefault="00B90305" w:rsidP="00B90305">
      <w:pPr>
        <w:numPr>
          <w:ilvl w:val="0"/>
          <w:numId w:val="2"/>
        </w:numPr>
        <w:spacing w:before="100" w:beforeAutospacing="1" w:after="100" w:afterAutospacing="1"/>
      </w:pPr>
      <w:r w:rsidRPr="00B90305">
        <w:t>The Reservationist will schedule the trip and provide the caller with a pick-up time. On the day of the trip, the rider must be ready at the scheduled pick-up time and location to board the vehicle within five minutes of its arrival. The trip is not considered late until 30 minutes after the scheduled pick-up time. Individuals will need to call the transportation provider directly if their ride is late, or if they need to cancel their trip. Cancellations must be made at least two hours prior to the scheduled pick-up time to avoid a “no show” penalty.</w:t>
      </w:r>
    </w:p>
    <w:p w:rsidR="00B90305" w:rsidRPr="00B90305" w:rsidRDefault="00B90305" w:rsidP="00B90305">
      <w:pPr>
        <w:numPr>
          <w:ilvl w:val="0"/>
          <w:numId w:val="2"/>
        </w:numPr>
        <w:spacing w:before="100" w:beforeAutospacing="1" w:after="100" w:afterAutospacing="1"/>
      </w:pPr>
      <w:r w:rsidRPr="00B90305">
        <w:t>Payment of $3.00 cash for each one-way trip MUST be given to the driver at the time of pick-up.</w:t>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Late Shift</w:t>
      </w:r>
    </w:p>
    <w:p w:rsidR="00B90305" w:rsidRPr="00B90305" w:rsidRDefault="00B90305" w:rsidP="00B90305">
      <w:pPr>
        <w:spacing w:before="100" w:beforeAutospacing="1" w:after="100" w:afterAutospacing="1"/>
      </w:pPr>
      <w:r w:rsidRPr="00B90305">
        <w:t>TD Late Shift provides up to 25 free on-demand trips per month to/from work when bus service is not available. To qualify, the individual must:</w:t>
      </w:r>
    </w:p>
    <w:p w:rsidR="00B90305" w:rsidRPr="00B90305" w:rsidRDefault="00B90305" w:rsidP="00B90305">
      <w:pPr>
        <w:numPr>
          <w:ilvl w:val="0"/>
          <w:numId w:val="3"/>
        </w:numPr>
        <w:spacing w:before="100" w:beforeAutospacing="1" w:after="100" w:afterAutospacing="1"/>
      </w:pPr>
      <w:r w:rsidRPr="00B90305">
        <w:t>Purchase their TD bus pass every month</w:t>
      </w:r>
    </w:p>
    <w:p w:rsidR="00B90305" w:rsidRPr="00B90305" w:rsidRDefault="00B90305" w:rsidP="00B90305">
      <w:pPr>
        <w:numPr>
          <w:ilvl w:val="0"/>
          <w:numId w:val="3"/>
        </w:numPr>
        <w:spacing w:before="100" w:beforeAutospacing="1" w:after="100" w:afterAutospacing="1"/>
      </w:pPr>
      <w:r w:rsidRPr="00B90305">
        <w:t>Have a job that begins or ends between 10 p.m. – 6 a.m. any day of the week</w:t>
      </w:r>
    </w:p>
    <w:p w:rsidR="00B90305" w:rsidRPr="00B90305" w:rsidRDefault="00B90305" w:rsidP="00B90305">
      <w:pPr>
        <w:spacing w:before="100" w:beforeAutospacing="1" w:after="100" w:afterAutospacing="1"/>
      </w:pPr>
      <w:r w:rsidRPr="00B90305">
        <w:t>To sign up, call 727-540-1900, ext. 6.</w:t>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Urgent Day</w:t>
      </w:r>
    </w:p>
    <w:p w:rsidR="00B90305" w:rsidRPr="00B90305" w:rsidRDefault="00B90305" w:rsidP="00B90305">
      <w:pPr>
        <w:spacing w:before="100" w:beforeAutospacing="1" w:after="100" w:afterAutospacing="1"/>
      </w:pPr>
      <w:r w:rsidRPr="00B90305">
        <w:t>TD Urgent Day provides one $3 on-demand trip per month to anyone who has their current TD bus pass and has a life-sustaining (non-emergency) trip that cannot be effectively served by bus.</w:t>
      </w:r>
    </w:p>
    <w:p w:rsidR="00B90305" w:rsidRPr="00B90305" w:rsidRDefault="00B90305" w:rsidP="00B90305">
      <w:pPr>
        <w:spacing w:before="100" w:beforeAutospacing="1" w:after="100" w:afterAutospacing="1"/>
      </w:pPr>
      <w:r w:rsidRPr="00B90305">
        <w:t>To take the trip, call 727-540-1900, ext. 6, Monday – Friday 7:30 a.m. – 4:30 p.m., and Saturday 8 a.m. – 4 p.m.</w:t>
      </w:r>
    </w:p>
    <w:p w:rsidR="00B90305" w:rsidRDefault="00B90305">
      <w:pPr>
        <w:rPr>
          <w:b/>
          <w:bCs/>
          <w:sz w:val="36"/>
          <w:szCs w:val="36"/>
        </w:rPr>
      </w:pPr>
      <w:r>
        <w:rPr>
          <w:b/>
          <w:bCs/>
          <w:sz w:val="36"/>
          <w:szCs w:val="36"/>
        </w:rPr>
        <w:br w:type="page"/>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How Do I Become Eligible for TD services?</w:t>
      </w:r>
    </w:p>
    <w:p w:rsidR="00B90305" w:rsidRPr="00B90305" w:rsidRDefault="00B90305" w:rsidP="00B90305">
      <w:pPr>
        <w:spacing w:before="100" w:beforeAutospacing="1" w:after="100" w:afterAutospacing="1"/>
      </w:pPr>
      <w:r w:rsidRPr="00B90305">
        <w:t xml:space="preserve">To request a TD Program Application, visit one of PSTA's </w:t>
      </w:r>
      <w:hyperlink r:id="rId6" w:tooltip="Customer Service Centers" w:history="1">
        <w:r w:rsidRPr="00B90305">
          <w:rPr>
            <w:color w:val="0000FF"/>
            <w:u w:val="single"/>
          </w:rPr>
          <w:t>Customer Service Centers</w:t>
        </w:r>
      </w:hyperlink>
      <w:r w:rsidRPr="00B90305">
        <w:t xml:space="preserve">, call 727-540-1900 or </w:t>
      </w:r>
      <w:hyperlink r:id="rId7" w:tgtFrame="_blank" w:tooltip="TD Program Application.pdf" w:history="1">
        <w:r w:rsidRPr="00B90305">
          <w:rPr>
            <w:color w:val="0000FF"/>
            <w:u w:val="single"/>
          </w:rPr>
          <w:t>click here</w:t>
        </w:r>
      </w:hyperlink>
      <w:r w:rsidRPr="00B90305">
        <w:t>.</w:t>
      </w:r>
    </w:p>
    <w:p w:rsidR="00B90305" w:rsidRPr="00B90305" w:rsidRDefault="00B90305" w:rsidP="00B90305">
      <w:pPr>
        <w:spacing w:before="100" w:beforeAutospacing="1" w:after="100" w:afterAutospacing="1"/>
      </w:pPr>
      <w:r w:rsidRPr="00B90305">
        <w:t xml:space="preserve">Complete and mail the application, along with required Proof of Income, to Pinellas Suncoast Transit Authority (PSTA) to the address shown on the application. Fax the completed application and documentation to 727-540-1923 or submit to a representative at one of </w:t>
      </w:r>
      <w:hyperlink r:id="rId8" w:tooltip="Customer Service Centers" w:history="1">
        <w:r w:rsidRPr="00B90305">
          <w:rPr>
            <w:color w:val="0000FF"/>
            <w:u w:val="single"/>
          </w:rPr>
          <w:t>PSTA's Customer Service Centers</w:t>
        </w:r>
      </w:hyperlink>
      <w:r w:rsidRPr="00B90305">
        <w:t>.</w:t>
      </w:r>
    </w:p>
    <w:p w:rsidR="00B90305" w:rsidRPr="00B90305" w:rsidRDefault="00B90305" w:rsidP="00B90305">
      <w:pPr>
        <w:spacing w:before="100" w:beforeAutospacing="1" w:after="100" w:afterAutospacing="1"/>
      </w:pPr>
      <w:r w:rsidRPr="00B90305">
        <w:t>Learn of your approval or denial by calling 727-540-1900 two weeks after the submission of your paperwork.</w:t>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How Are TD Bus Passes Sold?</w:t>
      </w:r>
    </w:p>
    <w:p w:rsidR="00B90305" w:rsidRPr="00B90305" w:rsidRDefault="00B90305" w:rsidP="00B90305">
      <w:pPr>
        <w:spacing w:before="100" w:beforeAutospacing="1" w:after="100" w:afterAutospacing="1"/>
      </w:pPr>
      <w:r w:rsidRPr="00B90305">
        <w:t>If approved for a TD bus pass, the individual will need to bring a government-issued photo ID to one of the PSTA Customer Service Centers listed below. In addition, the individual will need to bring cash, credit or debit to purchase their pass:</w:t>
      </w:r>
    </w:p>
    <w:p w:rsidR="00B90305" w:rsidRPr="00B90305" w:rsidRDefault="00B90305" w:rsidP="00B90305">
      <w:pPr>
        <w:numPr>
          <w:ilvl w:val="0"/>
          <w:numId w:val="4"/>
        </w:numPr>
        <w:spacing w:before="100" w:beforeAutospacing="1" w:after="100" w:afterAutospacing="1"/>
      </w:pPr>
      <w:r w:rsidRPr="00B90305">
        <w:t>10-Day Pass: $5.00</w:t>
      </w:r>
    </w:p>
    <w:p w:rsidR="00B90305" w:rsidRPr="00B90305" w:rsidRDefault="00B90305" w:rsidP="00B90305">
      <w:pPr>
        <w:numPr>
          <w:ilvl w:val="0"/>
          <w:numId w:val="4"/>
        </w:numPr>
        <w:spacing w:before="100" w:beforeAutospacing="1" w:after="100" w:afterAutospacing="1"/>
      </w:pPr>
      <w:r w:rsidRPr="00B90305">
        <w:t>31-Day Pass: $11.00</w:t>
      </w:r>
    </w:p>
    <w:p w:rsidR="00B90305" w:rsidRPr="00B90305" w:rsidRDefault="00B90305" w:rsidP="00B90305">
      <w:pPr>
        <w:spacing w:before="100" w:beforeAutospacing="1" w:after="100" w:afterAutospacing="1"/>
        <w:outlineLvl w:val="1"/>
        <w:rPr>
          <w:b/>
          <w:bCs/>
          <w:sz w:val="36"/>
          <w:szCs w:val="36"/>
        </w:rPr>
      </w:pPr>
      <w:r w:rsidRPr="00B90305">
        <w:rPr>
          <w:b/>
          <w:bCs/>
          <w:sz w:val="36"/>
          <w:szCs w:val="36"/>
        </w:rPr>
        <w:t>More about the Transportation Disadvantaged Program</w:t>
      </w:r>
    </w:p>
    <w:p w:rsidR="00B90305" w:rsidRPr="00B90305" w:rsidRDefault="00B90305" w:rsidP="00B90305">
      <w:pPr>
        <w:spacing w:before="100" w:beforeAutospacing="1" w:after="100" w:afterAutospacing="1"/>
      </w:pPr>
      <w:r w:rsidRPr="00B90305">
        <w:t>Service is limited based on available funding.</w:t>
      </w:r>
    </w:p>
    <w:p w:rsidR="00B90305" w:rsidRPr="00B90305" w:rsidRDefault="00B90305" w:rsidP="00B90305">
      <w:pPr>
        <w:spacing w:before="100" w:beforeAutospacing="1" w:after="100" w:afterAutospacing="1"/>
      </w:pPr>
      <w:r w:rsidRPr="00B90305">
        <w:t xml:space="preserve">The Pinellas County Transportation Disadvantaged (TD) Program is administered by the Pinellas Suncoast Transit Authority (PSTA), which serves as the county Community Transportation Coordinator (CTC). The CTC is appointed by the Florida Commission for the Transportation Disadvantaged. The CTC works closely with the Local Coordinating Board (LCB), which serves as the policy-making body for the TD Program. The LCB is comprised of private citizens, transportation providers and representatives from the MPO, human services agencies and other agencies that serve the transportation disadvantaged community. LCB meetings are held bi-monthly, usually on the third Tuesday of the month. For more information on LCB meetings, visit </w:t>
      </w:r>
      <w:hyperlink r:id="rId9" w:tgtFrame="_blank" w:tooltip="Local Coordination Board (LCB)" w:history="1">
        <w:r w:rsidRPr="00B90305">
          <w:rPr>
            <w:color w:val="0000FF"/>
            <w:u w:val="single"/>
          </w:rPr>
          <w:t>Local Coordination Board (LCB)</w:t>
        </w:r>
      </w:hyperlink>
      <w:r w:rsidRPr="00B90305">
        <w:t> or call Forward Pinellas at 727-464-8250.</w:t>
      </w:r>
    </w:p>
    <w:p w:rsidR="00B90305" w:rsidRPr="00B90305" w:rsidRDefault="00B90305" w:rsidP="00B90305">
      <w:pPr>
        <w:spacing w:before="100" w:beforeAutospacing="1" w:after="100" w:afterAutospacing="1"/>
      </w:pPr>
      <w:r w:rsidRPr="00B90305">
        <w:t>TD is an equal opportunity program which complies with Title VI of the Civil Rights Act as amended and encourages the participation of individuals with Limited English Proficiency.</w:t>
      </w:r>
    </w:p>
    <w:p w:rsidR="00412C33" w:rsidRDefault="00B90305" w:rsidP="00B90305">
      <w:pPr>
        <w:spacing w:before="100" w:beforeAutospacing="1" w:after="100" w:afterAutospacing="1"/>
      </w:pPr>
      <w:r w:rsidRPr="00B90305">
        <w:t xml:space="preserve">For commendations, questions or complaints, please contact PSTA at 727-540-1888 or the Florida Commission for the Transportation Disadvantaged Helpline 800-983-2435. </w:t>
      </w:r>
    </w:p>
    <w:sectPr w:rsidR="00412C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086"/>
    <w:multiLevelType w:val="multilevel"/>
    <w:tmpl w:val="112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4C7C"/>
    <w:multiLevelType w:val="multilevel"/>
    <w:tmpl w:val="0E0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327D5"/>
    <w:multiLevelType w:val="multilevel"/>
    <w:tmpl w:val="985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B2490"/>
    <w:multiLevelType w:val="multilevel"/>
    <w:tmpl w:val="A97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05"/>
    <w:rsid w:val="000106E1"/>
    <w:rsid w:val="00012F3F"/>
    <w:rsid w:val="00021809"/>
    <w:rsid w:val="000377E0"/>
    <w:rsid w:val="00043EA3"/>
    <w:rsid w:val="0005160F"/>
    <w:rsid w:val="0005330F"/>
    <w:rsid w:val="00054087"/>
    <w:rsid w:val="00055EA7"/>
    <w:rsid w:val="00061498"/>
    <w:rsid w:val="000645E0"/>
    <w:rsid w:val="00073EE3"/>
    <w:rsid w:val="0008060E"/>
    <w:rsid w:val="000809A2"/>
    <w:rsid w:val="00082962"/>
    <w:rsid w:val="00086829"/>
    <w:rsid w:val="00087A8F"/>
    <w:rsid w:val="0009288A"/>
    <w:rsid w:val="00095B4B"/>
    <w:rsid w:val="000B2DCD"/>
    <w:rsid w:val="000B7526"/>
    <w:rsid w:val="000C423E"/>
    <w:rsid w:val="000D56BC"/>
    <w:rsid w:val="000D5891"/>
    <w:rsid w:val="000D5C6A"/>
    <w:rsid w:val="000E22E8"/>
    <w:rsid w:val="000E403D"/>
    <w:rsid w:val="000F299E"/>
    <w:rsid w:val="00112EB2"/>
    <w:rsid w:val="001339C6"/>
    <w:rsid w:val="001360C7"/>
    <w:rsid w:val="00153EDB"/>
    <w:rsid w:val="00156649"/>
    <w:rsid w:val="00171623"/>
    <w:rsid w:val="00180AA4"/>
    <w:rsid w:val="00181473"/>
    <w:rsid w:val="0019065F"/>
    <w:rsid w:val="00190AC6"/>
    <w:rsid w:val="00192C71"/>
    <w:rsid w:val="0019578D"/>
    <w:rsid w:val="001A5A20"/>
    <w:rsid w:val="001B14AA"/>
    <w:rsid w:val="001B3912"/>
    <w:rsid w:val="001B7AB7"/>
    <w:rsid w:val="001C0765"/>
    <w:rsid w:val="001C7A8C"/>
    <w:rsid w:val="001D70E7"/>
    <w:rsid w:val="001E5CEA"/>
    <w:rsid w:val="001E775E"/>
    <w:rsid w:val="001F1A1E"/>
    <w:rsid w:val="001F2209"/>
    <w:rsid w:val="001F7F9A"/>
    <w:rsid w:val="0020396B"/>
    <w:rsid w:val="002041F2"/>
    <w:rsid w:val="0021250A"/>
    <w:rsid w:val="00213507"/>
    <w:rsid w:val="00217A76"/>
    <w:rsid w:val="0022652F"/>
    <w:rsid w:val="0022662F"/>
    <w:rsid w:val="002275F6"/>
    <w:rsid w:val="00237EBF"/>
    <w:rsid w:val="0024482C"/>
    <w:rsid w:val="00244B58"/>
    <w:rsid w:val="00247147"/>
    <w:rsid w:val="00250E35"/>
    <w:rsid w:val="00253116"/>
    <w:rsid w:val="0025359D"/>
    <w:rsid w:val="00261028"/>
    <w:rsid w:val="00270144"/>
    <w:rsid w:val="00277D60"/>
    <w:rsid w:val="00282D69"/>
    <w:rsid w:val="002B30E6"/>
    <w:rsid w:val="002B543E"/>
    <w:rsid w:val="002B5EB9"/>
    <w:rsid w:val="002C4F64"/>
    <w:rsid w:val="002F3B85"/>
    <w:rsid w:val="003010A6"/>
    <w:rsid w:val="0031206B"/>
    <w:rsid w:val="003128D4"/>
    <w:rsid w:val="00316732"/>
    <w:rsid w:val="003177E6"/>
    <w:rsid w:val="00317DFE"/>
    <w:rsid w:val="00325CF3"/>
    <w:rsid w:val="0032757B"/>
    <w:rsid w:val="0033400F"/>
    <w:rsid w:val="00335B4F"/>
    <w:rsid w:val="00343864"/>
    <w:rsid w:val="00345B6C"/>
    <w:rsid w:val="00345D14"/>
    <w:rsid w:val="00350F17"/>
    <w:rsid w:val="0036045A"/>
    <w:rsid w:val="003605B5"/>
    <w:rsid w:val="00375862"/>
    <w:rsid w:val="003768F3"/>
    <w:rsid w:val="00385C0C"/>
    <w:rsid w:val="00385C9D"/>
    <w:rsid w:val="003871BA"/>
    <w:rsid w:val="003943AC"/>
    <w:rsid w:val="003A11C4"/>
    <w:rsid w:val="003A22F8"/>
    <w:rsid w:val="003B3322"/>
    <w:rsid w:val="003B35F5"/>
    <w:rsid w:val="003B66E8"/>
    <w:rsid w:val="003C0F2F"/>
    <w:rsid w:val="003E2069"/>
    <w:rsid w:val="003E3335"/>
    <w:rsid w:val="003E480E"/>
    <w:rsid w:val="003E69F1"/>
    <w:rsid w:val="003E7848"/>
    <w:rsid w:val="003F2B5D"/>
    <w:rsid w:val="004001F5"/>
    <w:rsid w:val="00406F42"/>
    <w:rsid w:val="0041038F"/>
    <w:rsid w:val="00410BEE"/>
    <w:rsid w:val="00412C33"/>
    <w:rsid w:val="00417947"/>
    <w:rsid w:val="00427462"/>
    <w:rsid w:val="00441424"/>
    <w:rsid w:val="00445961"/>
    <w:rsid w:val="004461F0"/>
    <w:rsid w:val="00450F4B"/>
    <w:rsid w:val="004550D1"/>
    <w:rsid w:val="0045731D"/>
    <w:rsid w:val="00460A27"/>
    <w:rsid w:val="00466C91"/>
    <w:rsid w:val="00497F99"/>
    <w:rsid w:val="004A7FA5"/>
    <w:rsid w:val="004B1B9E"/>
    <w:rsid w:val="004B314C"/>
    <w:rsid w:val="004C0DFF"/>
    <w:rsid w:val="004C1739"/>
    <w:rsid w:val="004C6392"/>
    <w:rsid w:val="004D2391"/>
    <w:rsid w:val="004D7AFB"/>
    <w:rsid w:val="004E2FA9"/>
    <w:rsid w:val="004E7681"/>
    <w:rsid w:val="004F28F6"/>
    <w:rsid w:val="004F5B3D"/>
    <w:rsid w:val="00512C57"/>
    <w:rsid w:val="00514FB1"/>
    <w:rsid w:val="00515CD0"/>
    <w:rsid w:val="0052307E"/>
    <w:rsid w:val="0053217B"/>
    <w:rsid w:val="00536504"/>
    <w:rsid w:val="00536D56"/>
    <w:rsid w:val="00537AB4"/>
    <w:rsid w:val="00540E99"/>
    <w:rsid w:val="00552C7D"/>
    <w:rsid w:val="00557562"/>
    <w:rsid w:val="00561B2E"/>
    <w:rsid w:val="00561B6C"/>
    <w:rsid w:val="005713B9"/>
    <w:rsid w:val="005725C3"/>
    <w:rsid w:val="005742E1"/>
    <w:rsid w:val="0058041E"/>
    <w:rsid w:val="00583839"/>
    <w:rsid w:val="0059045D"/>
    <w:rsid w:val="00595C2C"/>
    <w:rsid w:val="005A56ED"/>
    <w:rsid w:val="005B5577"/>
    <w:rsid w:val="005C3DE1"/>
    <w:rsid w:val="005C5772"/>
    <w:rsid w:val="005C6EA6"/>
    <w:rsid w:val="005C7775"/>
    <w:rsid w:val="005D3398"/>
    <w:rsid w:val="005D455E"/>
    <w:rsid w:val="005D4A52"/>
    <w:rsid w:val="005E3452"/>
    <w:rsid w:val="005E35E1"/>
    <w:rsid w:val="005E37A5"/>
    <w:rsid w:val="005E37FA"/>
    <w:rsid w:val="005E4EDF"/>
    <w:rsid w:val="005F4577"/>
    <w:rsid w:val="0060686B"/>
    <w:rsid w:val="00615701"/>
    <w:rsid w:val="00616E75"/>
    <w:rsid w:val="0062663B"/>
    <w:rsid w:val="006266A3"/>
    <w:rsid w:val="00627C25"/>
    <w:rsid w:val="006330EE"/>
    <w:rsid w:val="0065029B"/>
    <w:rsid w:val="006513D3"/>
    <w:rsid w:val="0065390A"/>
    <w:rsid w:val="00656F42"/>
    <w:rsid w:val="0066492C"/>
    <w:rsid w:val="00666EEA"/>
    <w:rsid w:val="006708C9"/>
    <w:rsid w:val="00691D2C"/>
    <w:rsid w:val="0069520C"/>
    <w:rsid w:val="00696F7B"/>
    <w:rsid w:val="006A5419"/>
    <w:rsid w:val="006A5A79"/>
    <w:rsid w:val="006B26FF"/>
    <w:rsid w:val="006C1422"/>
    <w:rsid w:val="006C2036"/>
    <w:rsid w:val="006C32A7"/>
    <w:rsid w:val="006D651E"/>
    <w:rsid w:val="006E1181"/>
    <w:rsid w:val="006E6015"/>
    <w:rsid w:val="006E7BE6"/>
    <w:rsid w:val="006F0715"/>
    <w:rsid w:val="006F0AC2"/>
    <w:rsid w:val="006F5BCB"/>
    <w:rsid w:val="007154D1"/>
    <w:rsid w:val="00715B11"/>
    <w:rsid w:val="00725978"/>
    <w:rsid w:val="00732B6C"/>
    <w:rsid w:val="00742F0D"/>
    <w:rsid w:val="00747672"/>
    <w:rsid w:val="00761BBC"/>
    <w:rsid w:val="00763088"/>
    <w:rsid w:val="00782018"/>
    <w:rsid w:val="007850B6"/>
    <w:rsid w:val="007916D7"/>
    <w:rsid w:val="00791AB3"/>
    <w:rsid w:val="007A11EC"/>
    <w:rsid w:val="007A39CE"/>
    <w:rsid w:val="007A7190"/>
    <w:rsid w:val="007B3CE9"/>
    <w:rsid w:val="007B7138"/>
    <w:rsid w:val="007D7B3A"/>
    <w:rsid w:val="007E1C3F"/>
    <w:rsid w:val="007F0CE9"/>
    <w:rsid w:val="007F4F5A"/>
    <w:rsid w:val="007F672D"/>
    <w:rsid w:val="00800FE7"/>
    <w:rsid w:val="0080512E"/>
    <w:rsid w:val="008341DF"/>
    <w:rsid w:val="00843FB1"/>
    <w:rsid w:val="008462D6"/>
    <w:rsid w:val="0085106C"/>
    <w:rsid w:val="00853AA7"/>
    <w:rsid w:val="0085755C"/>
    <w:rsid w:val="00862EE1"/>
    <w:rsid w:val="008665E6"/>
    <w:rsid w:val="00871F7D"/>
    <w:rsid w:val="008740EF"/>
    <w:rsid w:val="00876186"/>
    <w:rsid w:val="00885423"/>
    <w:rsid w:val="00894B34"/>
    <w:rsid w:val="008A34E5"/>
    <w:rsid w:val="008B29AC"/>
    <w:rsid w:val="008B2C26"/>
    <w:rsid w:val="008B2C7A"/>
    <w:rsid w:val="008D5533"/>
    <w:rsid w:val="008D7C2A"/>
    <w:rsid w:val="008E0F16"/>
    <w:rsid w:val="008E257C"/>
    <w:rsid w:val="008E49FE"/>
    <w:rsid w:val="008E5675"/>
    <w:rsid w:val="008F0064"/>
    <w:rsid w:val="00905902"/>
    <w:rsid w:val="00912A06"/>
    <w:rsid w:val="00915AE1"/>
    <w:rsid w:val="00930599"/>
    <w:rsid w:val="00932E48"/>
    <w:rsid w:val="00937C48"/>
    <w:rsid w:val="00944D94"/>
    <w:rsid w:val="00955354"/>
    <w:rsid w:val="009624AE"/>
    <w:rsid w:val="00982026"/>
    <w:rsid w:val="00990241"/>
    <w:rsid w:val="009907FE"/>
    <w:rsid w:val="009B081B"/>
    <w:rsid w:val="009B398D"/>
    <w:rsid w:val="009C4585"/>
    <w:rsid w:val="009C5994"/>
    <w:rsid w:val="009C6F56"/>
    <w:rsid w:val="009D196D"/>
    <w:rsid w:val="009D46C7"/>
    <w:rsid w:val="009D56AA"/>
    <w:rsid w:val="009E16CD"/>
    <w:rsid w:val="009E3902"/>
    <w:rsid w:val="009E4B56"/>
    <w:rsid w:val="00A02884"/>
    <w:rsid w:val="00A0511A"/>
    <w:rsid w:val="00A14420"/>
    <w:rsid w:val="00A21D1F"/>
    <w:rsid w:val="00A23122"/>
    <w:rsid w:val="00A27C19"/>
    <w:rsid w:val="00A431D6"/>
    <w:rsid w:val="00A46AF6"/>
    <w:rsid w:val="00A50C29"/>
    <w:rsid w:val="00A54B0A"/>
    <w:rsid w:val="00A657AE"/>
    <w:rsid w:val="00A768D8"/>
    <w:rsid w:val="00A92A04"/>
    <w:rsid w:val="00A9712F"/>
    <w:rsid w:val="00AA399A"/>
    <w:rsid w:val="00AB3D66"/>
    <w:rsid w:val="00AC5F0E"/>
    <w:rsid w:val="00AD0C6C"/>
    <w:rsid w:val="00AD15AE"/>
    <w:rsid w:val="00AD522E"/>
    <w:rsid w:val="00AE3037"/>
    <w:rsid w:val="00AE4B3A"/>
    <w:rsid w:val="00AE7DA8"/>
    <w:rsid w:val="00AF1D51"/>
    <w:rsid w:val="00B01101"/>
    <w:rsid w:val="00B02018"/>
    <w:rsid w:val="00B12A75"/>
    <w:rsid w:val="00B152C5"/>
    <w:rsid w:val="00B17B6F"/>
    <w:rsid w:val="00B2000B"/>
    <w:rsid w:val="00B230EB"/>
    <w:rsid w:val="00B23E30"/>
    <w:rsid w:val="00B243B1"/>
    <w:rsid w:val="00B3392E"/>
    <w:rsid w:val="00B33B83"/>
    <w:rsid w:val="00B34130"/>
    <w:rsid w:val="00B41566"/>
    <w:rsid w:val="00B5584F"/>
    <w:rsid w:val="00B655DD"/>
    <w:rsid w:val="00B677DF"/>
    <w:rsid w:val="00B81091"/>
    <w:rsid w:val="00B822CB"/>
    <w:rsid w:val="00B84BFD"/>
    <w:rsid w:val="00B87CC1"/>
    <w:rsid w:val="00B90305"/>
    <w:rsid w:val="00B93E9F"/>
    <w:rsid w:val="00B95369"/>
    <w:rsid w:val="00BA0156"/>
    <w:rsid w:val="00BA0931"/>
    <w:rsid w:val="00BA4727"/>
    <w:rsid w:val="00BB07FF"/>
    <w:rsid w:val="00BC3F66"/>
    <w:rsid w:val="00BD003B"/>
    <w:rsid w:val="00BD5603"/>
    <w:rsid w:val="00BE12DA"/>
    <w:rsid w:val="00BE16B6"/>
    <w:rsid w:val="00BE2E25"/>
    <w:rsid w:val="00BF05C9"/>
    <w:rsid w:val="00BF2B63"/>
    <w:rsid w:val="00C06652"/>
    <w:rsid w:val="00C10DF3"/>
    <w:rsid w:val="00C174E8"/>
    <w:rsid w:val="00C20045"/>
    <w:rsid w:val="00C22A97"/>
    <w:rsid w:val="00C2513E"/>
    <w:rsid w:val="00C25981"/>
    <w:rsid w:val="00C5252E"/>
    <w:rsid w:val="00C573D2"/>
    <w:rsid w:val="00C6292E"/>
    <w:rsid w:val="00C67586"/>
    <w:rsid w:val="00C74260"/>
    <w:rsid w:val="00C74609"/>
    <w:rsid w:val="00C75FA8"/>
    <w:rsid w:val="00C779EF"/>
    <w:rsid w:val="00C870F1"/>
    <w:rsid w:val="00CB1187"/>
    <w:rsid w:val="00CC0ADC"/>
    <w:rsid w:val="00CD0555"/>
    <w:rsid w:val="00CD71D8"/>
    <w:rsid w:val="00CE413E"/>
    <w:rsid w:val="00CE48BD"/>
    <w:rsid w:val="00CE50A3"/>
    <w:rsid w:val="00D0013A"/>
    <w:rsid w:val="00D00F0D"/>
    <w:rsid w:val="00D0407F"/>
    <w:rsid w:val="00D11FB9"/>
    <w:rsid w:val="00D12324"/>
    <w:rsid w:val="00D13AF5"/>
    <w:rsid w:val="00D224E6"/>
    <w:rsid w:val="00D22C53"/>
    <w:rsid w:val="00D30B7E"/>
    <w:rsid w:val="00D42DDD"/>
    <w:rsid w:val="00D433B3"/>
    <w:rsid w:val="00D50494"/>
    <w:rsid w:val="00D6197A"/>
    <w:rsid w:val="00D64AD6"/>
    <w:rsid w:val="00D710E7"/>
    <w:rsid w:val="00D7779C"/>
    <w:rsid w:val="00D812DF"/>
    <w:rsid w:val="00D86609"/>
    <w:rsid w:val="00DA5B81"/>
    <w:rsid w:val="00DC18CB"/>
    <w:rsid w:val="00DC2186"/>
    <w:rsid w:val="00DC533D"/>
    <w:rsid w:val="00DC6EC6"/>
    <w:rsid w:val="00DD0389"/>
    <w:rsid w:val="00DE0F92"/>
    <w:rsid w:val="00DE4711"/>
    <w:rsid w:val="00DE5476"/>
    <w:rsid w:val="00DF5A3E"/>
    <w:rsid w:val="00DF6A6F"/>
    <w:rsid w:val="00E0034E"/>
    <w:rsid w:val="00E05164"/>
    <w:rsid w:val="00E07464"/>
    <w:rsid w:val="00E170B2"/>
    <w:rsid w:val="00E172B7"/>
    <w:rsid w:val="00E252F1"/>
    <w:rsid w:val="00E31674"/>
    <w:rsid w:val="00E362BE"/>
    <w:rsid w:val="00E47331"/>
    <w:rsid w:val="00E54306"/>
    <w:rsid w:val="00E66F6C"/>
    <w:rsid w:val="00E7428F"/>
    <w:rsid w:val="00E7715E"/>
    <w:rsid w:val="00EA76FE"/>
    <w:rsid w:val="00EB2BE6"/>
    <w:rsid w:val="00EB6040"/>
    <w:rsid w:val="00EB793E"/>
    <w:rsid w:val="00EC111C"/>
    <w:rsid w:val="00EC50BA"/>
    <w:rsid w:val="00EC60BD"/>
    <w:rsid w:val="00ED430C"/>
    <w:rsid w:val="00EE06F0"/>
    <w:rsid w:val="00EE0ED1"/>
    <w:rsid w:val="00EE4234"/>
    <w:rsid w:val="00EE64D8"/>
    <w:rsid w:val="00EF3172"/>
    <w:rsid w:val="00EF6CD7"/>
    <w:rsid w:val="00F00449"/>
    <w:rsid w:val="00F0260B"/>
    <w:rsid w:val="00F0460B"/>
    <w:rsid w:val="00F05E83"/>
    <w:rsid w:val="00F10008"/>
    <w:rsid w:val="00F1138C"/>
    <w:rsid w:val="00F13E54"/>
    <w:rsid w:val="00F22B3A"/>
    <w:rsid w:val="00F24D8C"/>
    <w:rsid w:val="00F27459"/>
    <w:rsid w:val="00F37C84"/>
    <w:rsid w:val="00F41952"/>
    <w:rsid w:val="00F42818"/>
    <w:rsid w:val="00F43142"/>
    <w:rsid w:val="00F47C62"/>
    <w:rsid w:val="00F528FF"/>
    <w:rsid w:val="00F5491A"/>
    <w:rsid w:val="00F64393"/>
    <w:rsid w:val="00F82B6F"/>
    <w:rsid w:val="00F915C0"/>
    <w:rsid w:val="00FA1666"/>
    <w:rsid w:val="00FA1B94"/>
    <w:rsid w:val="00FB11ED"/>
    <w:rsid w:val="00FB2F40"/>
    <w:rsid w:val="00FB5014"/>
    <w:rsid w:val="00FC1C55"/>
    <w:rsid w:val="00FC50AD"/>
    <w:rsid w:val="00FD014A"/>
    <w:rsid w:val="00FD619C"/>
    <w:rsid w:val="00FE0917"/>
    <w:rsid w:val="00FE17C6"/>
    <w:rsid w:val="00FF4EAF"/>
    <w:rsid w:val="00FF77C4"/>
    <w:rsid w:val="00FF7A25"/>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3A2A6B-0F17-433F-9864-7A6F7E5C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B903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903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305"/>
    <w:rPr>
      <w:b/>
      <w:bCs/>
      <w:sz w:val="36"/>
      <w:szCs w:val="36"/>
    </w:rPr>
  </w:style>
  <w:style w:type="character" w:customStyle="1" w:styleId="Heading3Char">
    <w:name w:val="Heading 3 Char"/>
    <w:basedOn w:val="DefaultParagraphFont"/>
    <w:link w:val="Heading3"/>
    <w:uiPriority w:val="9"/>
    <w:rsid w:val="00B90305"/>
    <w:rPr>
      <w:b/>
      <w:bCs/>
      <w:sz w:val="27"/>
      <w:szCs w:val="27"/>
    </w:rPr>
  </w:style>
  <w:style w:type="paragraph" w:styleId="NormalWeb">
    <w:name w:val="Normal (Web)"/>
    <w:basedOn w:val="Normal"/>
    <w:uiPriority w:val="99"/>
    <w:unhideWhenUsed/>
    <w:rsid w:val="00B90305"/>
    <w:pPr>
      <w:spacing w:before="100" w:beforeAutospacing="1" w:after="100" w:afterAutospacing="1"/>
    </w:pPr>
  </w:style>
  <w:style w:type="character" w:styleId="Strong">
    <w:name w:val="Strong"/>
    <w:basedOn w:val="DefaultParagraphFont"/>
    <w:uiPriority w:val="22"/>
    <w:qFormat/>
    <w:rsid w:val="00B90305"/>
    <w:rPr>
      <w:b/>
      <w:bCs/>
    </w:rPr>
  </w:style>
  <w:style w:type="character" w:styleId="Hyperlink">
    <w:name w:val="Hyperlink"/>
    <w:basedOn w:val="DefaultParagraphFont"/>
    <w:uiPriority w:val="99"/>
    <w:unhideWhenUsed/>
    <w:rsid w:val="00B9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21356">
      <w:bodyDiv w:val="1"/>
      <w:marLeft w:val="0"/>
      <w:marRight w:val="0"/>
      <w:marTop w:val="0"/>
      <w:marBottom w:val="0"/>
      <w:divBdr>
        <w:top w:val="none" w:sz="0" w:space="0" w:color="auto"/>
        <w:left w:val="none" w:sz="0" w:space="0" w:color="auto"/>
        <w:bottom w:val="none" w:sz="0" w:space="0" w:color="auto"/>
        <w:right w:val="none" w:sz="0" w:space="0" w:color="auto"/>
      </w:divBdr>
      <w:divsChild>
        <w:div w:id="53548959">
          <w:marLeft w:val="0"/>
          <w:marRight w:val="0"/>
          <w:marTop w:val="0"/>
          <w:marBottom w:val="0"/>
          <w:divBdr>
            <w:top w:val="none" w:sz="0" w:space="0" w:color="auto"/>
            <w:left w:val="none" w:sz="0" w:space="0" w:color="auto"/>
            <w:bottom w:val="none" w:sz="0" w:space="0" w:color="auto"/>
            <w:right w:val="none" w:sz="0" w:space="0" w:color="auto"/>
          </w:divBdr>
          <w:divsChild>
            <w:div w:id="65029345">
              <w:marLeft w:val="0"/>
              <w:marRight w:val="0"/>
              <w:marTop w:val="0"/>
              <w:marBottom w:val="0"/>
              <w:divBdr>
                <w:top w:val="none" w:sz="0" w:space="0" w:color="auto"/>
                <w:left w:val="none" w:sz="0" w:space="0" w:color="auto"/>
                <w:bottom w:val="none" w:sz="0" w:space="0" w:color="auto"/>
                <w:right w:val="none" w:sz="0" w:space="0" w:color="auto"/>
              </w:divBdr>
              <w:divsChild>
                <w:div w:id="555238164">
                  <w:marLeft w:val="0"/>
                  <w:marRight w:val="0"/>
                  <w:marTop w:val="0"/>
                  <w:marBottom w:val="0"/>
                  <w:divBdr>
                    <w:top w:val="none" w:sz="0" w:space="0" w:color="auto"/>
                    <w:left w:val="none" w:sz="0" w:space="0" w:color="auto"/>
                    <w:bottom w:val="none" w:sz="0" w:space="0" w:color="auto"/>
                    <w:right w:val="none" w:sz="0" w:space="0" w:color="auto"/>
                  </w:divBdr>
                  <w:divsChild>
                    <w:div w:id="519053178">
                      <w:marLeft w:val="0"/>
                      <w:marRight w:val="0"/>
                      <w:marTop w:val="0"/>
                      <w:marBottom w:val="0"/>
                      <w:divBdr>
                        <w:top w:val="none" w:sz="0" w:space="0" w:color="auto"/>
                        <w:left w:val="none" w:sz="0" w:space="0" w:color="auto"/>
                        <w:bottom w:val="none" w:sz="0" w:space="0" w:color="auto"/>
                        <w:right w:val="none" w:sz="0" w:space="0" w:color="auto"/>
                      </w:divBdr>
                      <w:divsChild>
                        <w:div w:id="208803015">
                          <w:marLeft w:val="0"/>
                          <w:marRight w:val="0"/>
                          <w:marTop w:val="0"/>
                          <w:marBottom w:val="0"/>
                          <w:divBdr>
                            <w:top w:val="none" w:sz="0" w:space="0" w:color="auto"/>
                            <w:left w:val="none" w:sz="0" w:space="0" w:color="auto"/>
                            <w:bottom w:val="none" w:sz="0" w:space="0" w:color="auto"/>
                            <w:right w:val="none" w:sz="0" w:space="0" w:color="auto"/>
                          </w:divBdr>
                          <w:divsChild>
                            <w:div w:id="11251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999556">
              <w:marLeft w:val="0"/>
              <w:marRight w:val="0"/>
              <w:marTop w:val="0"/>
              <w:marBottom w:val="0"/>
              <w:divBdr>
                <w:top w:val="none" w:sz="0" w:space="0" w:color="auto"/>
                <w:left w:val="none" w:sz="0" w:space="0" w:color="auto"/>
                <w:bottom w:val="none" w:sz="0" w:space="0" w:color="auto"/>
                <w:right w:val="none" w:sz="0" w:space="0" w:color="auto"/>
              </w:divBdr>
              <w:divsChild>
                <w:div w:id="61568825">
                  <w:marLeft w:val="0"/>
                  <w:marRight w:val="0"/>
                  <w:marTop w:val="0"/>
                  <w:marBottom w:val="0"/>
                  <w:divBdr>
                    <w:top w:val="none" w:sz="0" w:space="0" w:color="auto"/>
                    <w:left w:val="none" w:sz="0" w:space="0" w:color="auto"/>
                    <w:bottom w:val="none" w:sz="0" w:space="0" w:color="auto"/>
                    <w:right w:val="none" w:sz="0" w:space="0" w:color="auto"/>
                  </w:divBdr>
                  <w:divsChild>
                    <w:div w:id="479201534">
                      <w:marLeft w:val="0"/>
                      <w:marRight w:val="0"/>
                      <w:marTop w:val="0"/>
                      <w:marBottom w:val="0"/>
                      <w:divBdr>
                        <w:top w:val="none" w:sz="0" w:space="0" w:color="auto"/>
                        <w:left w:val="none" w:sz="0" w:space="0" w:color="auto"/>
                        <w:bottom w:val="none" w:sz="0" w:space="0" w:color="auto"/>
                        <w:right w:val="none" w:sz="0" w:space="0" w:color="auto"/>
                      </w:divBdr>
                      <w:divsChild>
                        <w:div w:id="1239747932">
                          <w:marLeft w:val="0"/>
                          <w:marRight w:val="0"/>
                          <w:marTop w:val="0"/>
                          <w:marBottom w:val="0"/>
                          <w:divBdr>
                            <w:top w:val="none" w:sz="0" w:space="0" w:color="auto"/>
                            <w:left w:val="none" w:sz="0" w:space="0" w:color="auto"/>
                            <w:bottom w:val="none" w:sz="0" w:space="0" w:color="auto"/>
                            <w:right w:val="none" w:sz="0" w:space="0" w:color="auto"/>
                          </w:divBdr>
                          <w:divsChild>
                            <w:div w:id="16848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4224">
              <w:marLeft w:val="0"/>
              <w:marRight w:val="0"/>
              <w:marTop w:val="0"/>
              <w:marBottom w:val="0"/>
              <w:divBdr>
                <w:top w:val="none" w:sz="0" w:space="0" w:color="auto"/>
                <w:left w:val="none" w:sz="0" w:space="0" w:color="auto"/>
                <w:bottom w:val="none" w:sz="0" w:space="0" w:color="auto"/>
                <w:right w:val="none" w:sz="0" w:space="0" w:color="auto"/>
              </w:divBdr>
              <w:divsChild>
                <w:div w:id="1135561785">
                  <w:marLeft w:val="0"/>
                  <w:marRight w:val="0"/>
                  <w:marTop w:val="0"/>
                  <w:marBottom w:val="0"/>
                  <w:divBdr>
                    <w:top w:val="none" w:sz="0" w:space="0" w:color="auto"/>
                    <w:left w:val="none" w:sz="0" w:space="0" w:color="auto"/>
                    <w:bottom w:val="none" w:sz="0" w:space="0" w:color="auto"/>
                    <w:right w:val="none" w:sz="0" w:space="0" w:color="auto"/>
                  </w:divBdr>
                  <w:divsChild>
                    <w:div w:id="1630627449">
                      <w:marLeft w:val="0"/>
                      <w:marRight w:val="0"/>
                      <w:marTop w:val="0"/>
                      <w:marBottom w:val="0"/>
                      <w:divBdr>
                        <w:top w:val="none" w:sz="0" w:space="0" w:color="auto"/>
                        <w:left w:val="none" w:sz="0" w:space="0" w:color="auto"/>
                        <w:bottom w:val="none" w:sz="0" w:space="0" w:color="auto"/>
                        <w:right w:val="none" w:sz="0" w:space="0" w:color="auto"/>
                      </w:divBdr>
                      <w:divsChild>
                        <w:div w:id="1138255802">
                          <w:marLeft w:val="0"/>
                          <w:marRight w:val="0"/>
                          <w:marTop w:val="0"/>
                          <w:marBottom w:val="0"/>
                          <w:divBdr>
                            <w:top w:val="none" w:sz="0" w:space="0" w:color="auto"/>
                            <w:left w:val="none" w:sz="0" w:space="0" w:color="auto"/>
                            <w:bottom w:val="none" w:sz="0" w:space="0" w:color="auto"/>
                            <w:right w:val="none" w:sz="0" w:space="0" w:color="auto"/>
                          </w:divBdr>
                          <w:divsChild>
                            <w:div w:id="16125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ta.net/contact-us/customer-service-centers/" TargetMode="External"/><Relationship Id="rId3" Type="http://schemas.openxmlformats.org/officeDocument/2006/relationships/settings" Target="settings.xml"/><Relationship Id="rId7" Type="http://schemas.openxmlformats.org/officeDocument/2006/relationships/hyperlink" Target="https://psta.net/media/1079/td-program-appl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ta.net/contact-us/customer-service-centers/" TargetMode="External"/><Relationship Id="rId11" Type="http://schemas.openxmlformats.org/officeDocument/2006/relationships/theme" Target="theme/theme1.xml"/><Relationship Id="rId5" Type="http://schemas.openxmlformats.org/officeDocument/2006/relationships/hyperlink" Target="https://psta.net/riding-psta/schedulesma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rwardpinellas.org/about-us/advisory-committees/local-coordinating-board-l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Silvers</dc:creator>
  <cp:lastModifiedBy>Grendy Henry</cp:lastModifiedBy>
  <cp:revision>2</cp:revision>
  <dcterms:created xsi:type="dcterms:W3CDTF">2017-08-01T17:14:00Z</dcterms:created>
  <dcterms:modified xsi:type="dcterms:W3CDTF">2017-08-01T17:14:00Z</dcterms:modified>
</cp:coreProperties>
</file>